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PO-4402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Summit Builders LLC</w:t>
      </w:r>
    </w:p>
    <w:p>
      <w:r>
        <w:rPr>
          <w:b w:val="0"/>
          <w:color w:val="6B7280"/>
          <w:sz w:val="20"/>
        </w:rPr>
        <w:t>1750 Contract Drive</w:t>
      </w:r>
    </w:p>
    <w:p>
      <w:r>
        <w:rPr>
          <w:b w:val="0"/>
          <w:color w:val="6B7280"/>
          <w:sz w:val="20"/>
        </w:rPr>
        <w:t>Dallas, TX 75201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Progress draw: framing complete, 30% of contract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$9,000.00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$9,000.00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Change order: upgraded exterior doors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$1,850.00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Retainage held (10%)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-$900.00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-$900.00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$9,950.00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$9,950.00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30. Progress draw against the schedule of values, with 10% retainage held until final completion. Late balances accrue 1.5% per month.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