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INVOICE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PO number: </w:t>
            </w:r>
            <w:r>
              <w:rPr>
                <w:b w:val="0"/>
                <w:color w:val="09050F"/>
                <w:sz w:val="20"/>
              </w:rPr>
              <w:t>PO-4198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Brightway Retail Fitouts</w:t>
      </w:r>
    </w:p>
    <w:p>
      <w:r>
        <w:rPr>
          <w:b w:val="0"/>
          <w:color w:val="6B7280"/>
          <w:sz w:val="20"/>
        </w:rPr>
        <w:t>455 Industrial Parkway</w:t>
      </w:r>
    </w:p>
    <w:p>
      <w:r>
        <w:rPr>
          <w:b w:val="0"/>
          <w:color w:val="6B7280"/>
          <w:sz w:val="20"/>
        </w:rPr>
        <w:t>Charlotte, NC 28206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Service call and load assessment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$110.00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$110.00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Labor, licensed electrician per hour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8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$145.00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$1,160.00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Panel upgrade, 200-amp (parts)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$680.00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Wiring, breakers, and materials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$420.00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$420.00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Permit and inspection fee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$225.00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$225.00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$2,595.00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$2,595.00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Net 30. Work is performed to code and permit-inspected. Emergency callouts are billed at 1.5x. Late balances accrue 1.5% per month.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