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Aug 28,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PO-2026-330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Brightline Software Inc</w:t>
      </w:r>
    </w:p>
    <w:p>
      <w:r>
        <w:rPr>
          <w:b w:val="0"/>
          <w:color w:val="6B7280"/>
          <w:sz w:val="20"/>
        </w:rPr>
        <w:t>500 Technology Drive</w:t>
      </w:r>
    </w:p>
    <w:p>
      <w:r>
        <w:rPr>
          <w:b w:val="0"/>
          <w:color w:val="6B7280"/>
          <w:sz w:val="20"/>
        </w:rPr>
        <w:t>San Jose, CA 95110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Development work, week of the 3rd (hours)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32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$85.00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$2,720.00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Development work, week of the 10th (hours)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28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$85.00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$2,380.00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Project management (hours)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6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$570.00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$5,670.00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$5,670.00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Net 15. Hours are billed per the attached timesheet. A late fee of 1.5% per month applies after the due date.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