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SUB-2026-118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Keystone General Contractors</w:t>
      </w:r>
    </w:p>
    <w:p>
      <w:r>
        <w:rPr>
          <w:b w:val="0"/>
          <w:color w:val="6B7280"/>
          <w:sz w:val="20"/>
        </w:rPr>
        <w:t>1220 Industrial Way</w:t>
      </w:r>
    </w:p>
    <w:p>
      <w:r>
        <w:rPr>
          <w:b w:val="0"/>
          <w:color w:val="6B7280"/>
          <w:sz w:val="20"/>
        </w:rPr>
        <w:t>Dallas, TX 75207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Framing labor, per subcontract (30% draw)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Approved change order: blocking and backing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Retainage held (10%)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-$542.00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-$542.00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$4,878.00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$4,878.00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Billed against the subcontract schedule of values, with 10% retainage held until project closeout. A conditional lien waiver is provided on payment.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